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92CB" w14:textId="59281CBC" w:rsidR="009D6AEB" w:rsidRDefault="00AF4A5F" w:rsidP="00AF4A5F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Э</w:t>
      </w:r>
      <w:r w:rsidR="00B44D26" w:rsidRPr="00AF4A5F">
        <w:rPr>
          <w:rFonts w:ascii="Times New Roman" w:hAnsi="Times New Roman" w:cs="Times New Roman"/>
          <w:b/>
          <w:bCs/>
          <w:noProof/>
          <w:sz w:val="32"/>
          <w:szCs w:val="32"/>
        </w:rPr>
        <w:t>колог</w:t>
      </w:r>
      <w:r w:rsidR="00912777">
        <w:rPr>
          <w:rFonts w:ascii="Times New Roman" w:hAnsi="Times New Roman" w:cs="Times New Roman"/>
          <w:b/>
          <w:bCs/>
          <w:noProof/>
          <w:sz w:val="32"/>
          <w:szCs w:val="32"/>
        </w:rPr>
        <w:t>о-гигиеническое</w:t>
      </w:r>
      <w:r w:rsidR="00B44D26" w:rsidRPr="00AF4A5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качеств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о</w:t>
      </w:r>
      <w:r w:rsidR="00B44D26" w:rsidRPr="00AF4A5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жизни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на территории Витебской области</w:t>
      </w:r>
    </w:p>
    <w:p w14:paraId="5E57822B" w14:textId="64B8281F" w:rsidR="00AF4A5F" w:rsidRPr="00AF4A5F" w:rsidRDefault="00AF4A5F" w:rsidP="00AF4A5F">
      <w:pPr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F4A5F">
        <w:rPr>
          <w:rFonts w:ascii="Times New Roman" w:hAnsi="Times New Roman" w:cs="Times New Roman"/>
          <w:noProof/>
          <w:sz w:val="32"/>
          <w:szCs w:val="32"/>
          <w:u w:val="single"/>
        </w:rPr>
        <w:t xml:space="preserve">Достижение показателей ЦУР </w:t>
      </w:r>
    </w:p>
    <w:p w14:paraId="29C0A529" w14:textId="77777777" w:rsidR="00AF4A5F" w:rsidRPr="00AF4A5F" w:rsidRDefault="00AF4A5F" w:rsidP="00AF4A5F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55653BEC" w14:textId="38EFC42B" w:rsidR="002F6B69" w:rsidRDefault="002F6B69" w:rsidP="002F6B69">
      <w:pPr>
        <w:jc w:val="center"/>
      </w:pPr>
      <w:r>
        <w:rPr>
          <w:noProof/>
        </w:rPr>
        <w:drawing>
          <wp:inline distT="0" distB="0" distL="0" distR="0" wp14:anchorId="3B4E808D" wp14:editId="13D4D46F">
            <wp:extent cx="5585460" cy="25908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B0A749B-3778-A933-1FB5-1E0B6A6010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1456F33" w14:textId="13F462C7" w:rsidR="00575896" w:rsidRDefault="00EE7478" w:rsidP="00D0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A6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E35C75" w:rsidRPr="00D008A6">
        <w:rPr>
          <w:rFonts w:ascii="Times New Roman" w:hAnsi="Times New Roman" w:cs="Times New Roman"/>
          <w:sz w:val="28"/>
          <w:szCs w:val="28"/>
        </w:rPr>
        <w:t>загрязняющих веществ за период 2017-2021 годы снизились: от мобильных источников</w:t>
      </w:r>
      <w:r w:rsidR="00C93AB2">
        <w:rPr>
          <w:rFonts w:ascii="Times New Roman" w:hAnsi="Times New Roman" w:cs="Times New Roman"/>
          <w:sz w:val="28"/>
          <w:szCs w:val="28"/>
        </w:rPr>
        <w:t xml:space="preserve"> – </w:t>
      </w:r>
      <w:r w:rsidR="00E35C75" w:rsidRPr="00D008A6">
        <w:rPr>
          <w:rFonts w:ascii="Times New Roman" w:hAnsi="Times New Roman" w:cs="Times New Roman"/>
          <w:sz w:val="28"/>
          <w:szCs w:val="28"/>
        </w:rPr>
        <w:t>на 15%, от стационарных источников</w:t>
      </w:r>
      <w:r w:rsidR="00C93AB2">
        <w:rPr>
          <w:rFonts w:ascii="Times New Roman" w:hAnsi="Times New Roman" w:cs="Times New Roman"/>
          <w:sz w:val="28"/>
          <w:szCs w:val="28"/>
        </w:rPr>
        <w:t xml:space="preserve"> – </w:t>
      </w:r>
      <w:r w:rsidR="00D008A6" w:rsidRPr="00D008A6">
        <w:rPr>
          <w:rFonts w:ascii="Times New Roman" w:hAnsi="Times New Roman" w:cs="Times New Roman"/>
          <w:sz w:val="28"/>
          <w:szCs w:val="28"/>
        </w:rPr>
        <w:t>на 3%.</w:t>
      </w:r>
    </w:p>
    <w:p w14:paraId="4BC6EFA7" w14:textId="77777777" w:rsidR="00D008A6" w:rsidRPr="00D008A6" w:rsidRDefault="00D008A6" w:rsidP="00D0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9FC3F" w14:textId="0E9D247D" w:rsidR="00575896" w:rsidRDefault="00575896" w:rsidP="002F6B69">
      <w:pPr>
        <w:jc w:val="center"/>
      </w:pPr>
      <w:r>
        <w:rPr>
          <w:noProof/>
        </w:rPr>
        <w:drawing>
          <wp:inline distT="0" distB="0" distL="0" distR="0" wp14:anchorId="3D8D9685" wp14:editId="206FCDE4">
            <wp:extent cx="5753100" cy="30480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D424872A-E7A0-4073-FD94-CD29F9217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29E324" w14:textId="336B370A" w:rsidR="00575896" w:rsidRPr="000A7B85" w:rsidRDefault="00893FC2" w:rsidP="00785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6D">
        <w:rPr>
          <w:rFonts w:ascii="Times New Roman" w:hAnsi="Times New Roman" w:cs="Times New Roman"/>
          <w:i/>
          <w:iCs/>
          <w:sz w:val="28"/>
          <w:szCs w:val="28"/>
        </w:rPr>
        <w:t>Показатель ЦУР 11.6.2.1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2A97">
        <w:rPr>
          <w:rFonts w:ascii="Times New Roman" w:hAnsi="Times New Roman" w:cs="Times New Roman"/>
          <w:sz w:val="28"/>
          <w:szCs w:val="28"/>
        </w:rPr>
        <w:t>Среднегодовая концентрация содержания загрязняющих веществ в атмосферном воздухе городов</w:t>
      </w:r>
      <w:r w:rsidR="00A12A97">
        <w:rPr>
          <w:rFonts w:ascii="Times New Roman" w:hAnsi="Times New Roman" w:cs="Times New Roman"/>
          <w:sz w:val="28"/>
          <w:szCs w:val="28"/>
        </w:rPr>
        <w:t xml:space="preserve"> –содержание з</w:t>
      </w:r>
      <w:r w:rsidR="000A7B85" w:rsidRPr="000A7B85">
        <w:rPr>
          <w:rFonts w:ascii="Times New Roman" w:hAnsi="Times New Roman" w:cs="Times New Roman"/>
          <w:sz w:val="28"/>
          <w:szCs w:val="28"/>
        </w:rPr>
        <w:t>агрязняющих веществ</w:t>
      </w:r>
      <w:r w:rsidR="000A7B85">
        <w:rPr>
          <w:rFonts w:ascii="Times New Roman" w:hAnsi="Times New Roman" w:cs="Times New Roman"/>
          <w:sz w:val="28"/>
          <w:szCs w:val="28"/>
        </w:rPr>
        <w:t xml:space="preserve"> в атмосферн</w:t>
      </w:r>
      <w:r w:rsidR="00A12A97">
        <w:rPr>
          <w:rFonts w:ascii="Times New Roman" w:hAnsi="Times New Roman" w:cs="Times New Roman"/>
          <w:sz w:val="28"/>
          <w:szCs w:val="28"/>
        </w:rPr>
        <w:t>ом</w:t>
      </w:r>
      <w:r w:rsidR="000A7B85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A12A97">
        <w:rPr>
          <w:rFonts w:ascii="Times New Roman" w:hAnsi="Times New Roman" w:cs="Times New Roman"/>
          <w:sz w:val="28"/>
          <w:szCs w:val="28"/>
        </w:rPr>
        <w:t>е</w:t>
      </w:r>
      <w:r w:rsidR="000A7B85" w:rsidRPr="000A7B85">
        <w:rPr>
          <w:rFonts w:ascii="Times New Roman" w:hAnsi="Times New Roman" w:cs="Times New Roman"/>
          <w:sz w:val="28"/>
          <w:szCs w:val="28"/>
        </w:rPr>
        <w:t xml:space="preserve"> </w:t>
      </w:r>
      <w:r w:rsidR="003751BE">
        <w:rPr>
          <w:rFonts w:ascii="Times New Roman" w:hAnsi="Times New Roman" w:cs="Times New Roman"/>
          <w:sz w:val="28"/>
          <w:szCs w:val="28"/>
        </w:rPr>
        <w:t xml:space="preserve">за период 2017-2021 годы </w:t>
      </w:r>
      <w:r w:rsidR="000A7B85" w:rsidRPr="000A7B85">
        <w:rPr>
          <w:rFonts w:ascii="Times New Roman" w:hAnsi="Times New Roman" w:cs="Times New Roman"/>
          <w:sz w:val="28"/>
          <w:szCs w:val="28"/>
        </w:rPr>
        <w:t>не превыша</w:t>
      </w:r>
      <w:r w:rsidR="00FE2127">
        <w:rPr>
          <w:rFonts w:ascii="Times New Roman" w:hAnsi="Times New Roman" w:cs="Times New Roman"/>
          <w:sz w:val="28"/>
          <w:szCs w:val="28"/>
        </w:rPr>
        <w:t>ли</w:t>
      </w:r>
      <w:r w:rsidR="000A7B85" w:rsidRPr="000A7B85">
        <w:rPr>
          <w:rFonts w:ascii="Times New Roman" w:hAnsi="Times New Roman" w:cs="Times New Roman"/>
          <w:sz w:val="28"/>
          <w:szCs w:val="28"/>
        </w:rPr>
        <w:t xml:space="preserve"> значение ПДК</w:t>
      </w:r>
      <w:r w:rsidR="00EE7478">
        <w:rPr>
          <w:rFonts w:ascii="Times New Roman" w:hAnsi="Times New Roman" w:cs="Times New Roman"/>
          <w:sz w:val="28"/>
          <w:szCs w:val="28"/>
        </w:rPr>
        <w:t>.</w:t>
      </w:r>
    </w:p>
    <w:p w14:paraId="38338AE0" w14:textId="77777777" w:rsidR="00575896" w:rsidRDefault="00575896" w:rsidP="002F6B69">
      <w:pPr>
        <w:jc w:val="center"/>
      </w:pPr>
    </w:p>
    <w:p w14:paraId="3A0CBED5" w14:textId="01A6D492" w:rsidR="00AE2A1D" w:rsidRDefault="00D04249">
      <w:r>
        <w:rPr>
          <w:noProof/>
        </w:rPr>
        <w:lastRenderedPageBreak/>
        <w:drawing>
          <wp:inline distT="0" distB="0" distL="0" distR="0" wp14:anchorId="783591EB" wp14:editId="58231083">
            <wp:extent cx="5775960" cy="39624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D6319EB-FF86-BA4D-AC02-901F2F1E0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6E3114" w14:textId="0CDDC10E" w:rsidR="00AE2A1D" w:rsidRDefault="009738F9" w:rsidP="009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6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93AB2" w:rsidRPr="0078586D">
        <w:rPr>
          <w:rFonts w:ascii="Times New Roman" w:hAnsi="Times New Roman" w:cs="Times New Roman"/>
          <w:i/>
          <w:iCs/>
          <w:sz w:val="28"/>
          <w:szCs w:val="28"/>
        </w:rPr>
        <w:t>оказател</w:t>
      </w:r>
      <w:r w:rsidRPr="0078586D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C93AB2" w:rsidRPr="0078586D">
        <w:rPr>
          <w:rFonts w:ascii="Times New Roman" w:hAnsi="Times New Roman" w:cs="Times New Roman"/>
          <w:i/>
          <w:iCs/>
          <w:sz w:val="28"/>
          <w:szCs w:val="28"/>
        </w:rPr>
        <w:t xml:space="preserve"> ЦУР </w:t>
      </w:r>
      <w:r w:rsidR="009A7634" w:rsidRPr="0078586D">
        <w:rPr>
          <w:rFonts w:ascii="Times New Roman" w:hAnsi="Times New Roman" w:cs="Times New Roman"/>
          <w:i/>
          <w:iCs/>
          <w:sz w:val="28"/>
          <w:szCs w:val="28"/>
        </w:rPr>
        <w:t>12.4.2.2</w:t>
      </w:r>
      <w:r w:rsidR="009A76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7634">
        <w:rPr>
          <w:rFonts w:ascii="Times New Roman" w:hAnsi="Times New Roman" w:cs="Times New Roman"/>
          <w:sz w:val="28"/>
          <w:szCs w:val="28"/>
        </w:rPr>
        <w:t>оля использованных отходов производства 1-3 классов</w:t>
      </w:r>
      <w:r w:rsidR="007F6EBD">
        <w:rPr>
          <w:rFonts w:ascii="Times New Roman" w:hAnsi="Times New Roman" w:cs="Times New Roman"/>
          <w:sz w:val="28"/>
          <w:szCs w:val="28"/>
        </w:rPr>
        <w:t xml:space="preserve"> опасности в общем объеме образовавшихся отходов 1-3 класса </w:t>
      </w:r>
      <w:r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CA53B5">
        <w:rPr>
          <w:rFonts w:ascii="Times New Roman" w:hAnsi="Times New Roman" w:cs="Times New Roman"/>
          <w:sz w:val="28"/>
          <w:szCs w:val="28"/>
        </w:rPr>
        <w:t>– динамика отрицательная.</w:t>
      </w:r>
    </w:p>
    <w:p w14:paraId="6A2E8B00" w14:textId="77777777" w:rsidR="00C93AB2" w:rsidRPr="00C93AB2" w:rsidRDefault="00C93AB2" w:rsidP="00C93A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71F7B1" w14:textId="48A458DA" w:rsidR="00AE2A1D" w:rsidRDefault="00AE2A1D">
      <w:r>
        <w:rPr>
          <w:noProof/>
        </w:rPr>
        <w:drawing>
          <wp:inline distT="0" distB="0" distL="0" distR="0" wp14:anchorId="256CB7A8" wp14:editId="56DB7E57">
            <wp:extent cx="5775960" cy="3002280"/>
            <wp:effectExtent l="0" t="0" r="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C785A0EF-4BAD-9CD3-5E2D-21AB93F894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F17850" w14:textId="1956299B" w:rsidR="00AE2A1D" w:rsidRPr="00887350" w:rsidRDefault="00886052" w:rsidP="00A9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6D">
        <w:rPr>
          <w:rFonts w:ascii="Times New Roman" w:hAnsi="Times New Roman" w:cs="Times New Roman"/>
          <w:i/>
          <w:iCs/>
          <w:sz w:val="28"/>
          <w:szCs w:val="28"/>
        </w:rPr>
        <w:t>Показатель ЦУР 11.6.1.1</w:t>
      </w:r>
      <w:r w:rsidR="003751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Доля населения, пользующаяся услугой удаления </w:t>
      </w:r>
      <w:r w:rsidR="00272014">
        <w:rPr>
          <w:rFonts w:ascii="Times New Roman" w:hAnsi="Times New Roman" w:cs="Times New Roman"/>
          <w:sz w:val="28"/>
          <w:szCs w:val="28"/>
        </w:rPr>
        <w:t>твердых коммунальных отходов в общем объеме образования</w:t>
      </w:r>
      <w:r w:rsidR="00272014" w:rsidRPr="00272014">
        <w:rPr>
          <w:rFonts w:ascii="Times New Roman" w:hAnsi="Times New Roman" w:cs="Times New Roman"/>
          <w:sz w:val="28"/>
          <w:szCs w:val="28"/>
        </w:rPr>
        <w:t xml:space="preserve"> </w:t>
      </w:r>
      <w:r w:rsidR="0027201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751BE">
        <w:rPr>
          <w:rFonts w:ascii="Times New Roman" w:hAnsi="Times New Roman" w:cs="Times New Roman"/>
          <w:sz w:val="28"/>
          <w:szCs w:val="28"/>
        </w:rPr>
        <w:t xml:space="preserve"> – </w:t>
      </w:r>
      <w:r w:rsidR="00887350">
        <w:rPr>
          <w:rFonts w:ascii="Times New Roman" w:hAnsi="Times New Roman" w:cs="Times New Roman"/>
          <w:sz w:val="28"/>
          <w:szCs w:val="28"/>
        </w:rPr>
        <w:t>период 2017-2021 год</w:t>
      </w:r>
      <w:r w:rsidR="003751BE">
        <w:rPr>
          <w:rFonts w:ascii="Times New Roman" w:hAnsi="Times New Roman" w:cs="Times New Roman"/>
          <w:sz w:val="28"/>
          <w:szCs w:val="28"/>
        </w:rPr>
        <w:t>ы</w:t>
      </w:r>
      <w:r w:rsidR="00887350">
        <w:rPr>
          <w:rFonts w:ascii="Times New Roman" w:hAnsi="Times New Roman" w:cs="Times New Roman"/>
          <w:sz w:val="28"/>
          <w:szCs w:val="28"/>
        </w:rPr>
        <w:t xml:space="preserve"> </w:t>
      </w:r>
      <w:r w:rsidR="00272014">
        <w:rPr>
          <w:rFonts w:ascii="Times New Roman" w:hAnsi="Times New Roman" w:cs="Times New Roman"/>
          <w:sz w:val="28"/>
          <w:szCs w:val="28"/>
        </w:rPr>
        <w:t>вырос в 1,8 раза – динамика положительная</w:t>
      </w:r>
    </w:p>
    <w:p w14:paraId="6B224ED3" w14:textId="62BA8C87" w:rsidR="00AE2A1D" w:rsidRDefault="00AE2A1D"/>
    <w:p w14:paraId="29AE1406" w14:textId="328391C7" w:rsidR="00FE2127" w:rsidRDefault="00FE2127">
      <w:r>
        <w:rPr>
          <w:noProof/>
        </w:rPr>
        <w:lastRenderedPageBreak/>
        <w:drawing>
          <wp:inline distT="0" distB="0" distL="0" distR="0" wp14:anchorId="7C7C4DD1" wp14:editId="2C1793B1">
            <wp:extent cx="5836920" cy="3230880"/>
            <wp:effectExtent l="0" t="0" r="0" b="762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88C27AFE-B728-668F-809B-3020E3F91C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D501E0" w14:textId="2E126169" w:rsidR="00AE2A1D" w:rsidRPr="008213BF" w:rsidRDefault="0095136D" w:rsidP="0082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BF">
        <w:rPr>
          <w:rFonts w:ascii="Times New Roman" w:hAnsi="Times New Roman" w:cs="Times New Roman"/>
          <w:sz w:val="28"/>
          <w:szCs w:val="28"/>
        </w:rPr>
        <w:t>Показатели б</w:t>
      </w:r>
      <w:r w:rsidR="00912777" w:rsidRPr="008213BF">
        <w:rPr>
          <w:rFonts w:ascii="Times New Roman" w:hAnsi="Times New Roman" w:cs="Times New Roman"/>
          <w:sz w:val="28"/>
          <w:szCs w:val="28"/>
        </w:rPr>
        <w:t>лагоустройств</w:t>
      </w:r>
      <w:r w:rsidRPr="008213BF">
        <w:rPr>
          <w:rFonts w:ascii="Times New Roman" w:hAnsi="Times New Roman" w:cs="Times New Roman"/>
          <w:sz w:val="28"/>
          <w:szCs w:val="28"/>
        </w:rPr>
        <w:t>а</w:t>
      </w:r>
      <w:r w:rsidR="00912777" w:rsidRPr="008213BF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8213BF">
        <w:rPr>
          <w:rFonts w:ascii="Times New Roman" w:hAnsi="Times New Roman" w:cs="Times New Roman"/>
          <w:sz w:val="28"/>
          <w:szCs w:val="28"/>
        </w:rPr>
        <w:t xml:space="preserve"> за период 2017-2021 годы выросли: </w:t>
      </w:r>
    </w:p>
    <w:p w14:paraId="69D7AE48" w14:textId="417D6372" w:rsidR="00AE2A1D" w:rsidRPr="008213BF" w:rsidRDefault="00745F72" w:rsidP="0082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BF">
        <w:rPr>
          <w:rFonts w:ascii="Times New Roman" w:hAnsi="Times New Roman" w:cs="Times New Roman"/>
          <w:sz w:val="28"/>
          <w:szCs w:val="28"/>
        </w:rPr>
        <w:t>у</w:t>
      </w:r>
      <w:r w:rsidRPr="008213BF">
        <w:rPr>
          <w:rFonts w:ascii="Times New Roman" w:hAnsi="Times New Roman" w:cs="Times New Roman"/>
          <w:sz w:val="28"/>
          <w:szCs w:val="28"/>
        </w:rPr>
        <w:t>дельный вес домашних хозяйств, проживающих в квартирах (домах), оборудованных водопроводом</w:t>
      </w:r>
      <w:r w:rsidRPr="008213BF">
        <w:rPr>
          <w:rFonts w:ascii="Times New Roman" w:hAnsi="Times New Roman" w:cs="Times New Roman"/>
          <w:sz w:val="28"/>
          <w:szCs w:val="28"/>
        </w:rPr>
        <w:t xml:space="preserve"> – на 3,3%, </w:t>
      </w:r>
    </w:p>
    <w:p w14:paraId="025CF398" w14:textId="589FDAF6" w:rsidR="00EE0EBE" w:rsidRPr="008213BF" w:rsidRDefault="00EE0EBE" w:rsidP="0082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BF">
        <w:rPr>
          <w:rFonts w:ascii="Times New Roman" w:hAnsi="Times New Roman" w:cs="Times New Roman"/>
          <w:sz w:val="28"/>
          <w:szCs w:val="28"/>
        </w:rPr>
        <w:t>у</w:t>
      </w:r>
      <w:r w:rsidRPr="008213BF">
        <w:rPr>
          <w:rFonts w:ascii="Times New Roman" w:hAnsi="Times New Roman" w:cs="Times New Roman"/>
          <w:sz w:val="28"/>
          <w:szCs w:val="28"/>
        </w:rPr>
        <w:t>дельный вес домашних хозяйств, проживающих в квартирах (домах), оборудованных горячим водоснабжением</w:t>
      </w:r>
      <w:r w:rsidRPr="008213BF">
        <w:rPr>
          <w:rFonts w:ascii="Times New Roman" w:hAnsi="Times New Roman" w:cs="Times New Roman"/>
          <w:sz w:val="28"/>
          <w:szCs w:val="28"/>
        </w:rPr>
        <w:t xml:space="preserve"> – на 7,2%; </w:t>
      </w:r>
    </w:p>
    <w:p w14:paraId="079FE563" w14:textId="1D9B8619" w:rsidR="00EE0EBE" w:rsidRPr="008213BF" w:rsidRDefault="00EE0EBE" w:rsidP="0082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BF">
        <w:rPr>
          <w:rFonts w:ascii="Times New Roman" w:hAnsi="Times New Roman" w:cs="Times New Roman"/>
          <w:sz w:val="28"/>
          <w:szCs w:val="28"/>
        </w:rPr>
        <w:t>у</w:t>
      </w:r>
      <w:r w:rsidRPr="008213BF">
        <w:rPr>
          <w:rFonts w:ascii="Times New Roman" w:hAnsi="Times New Roman" w:cs="Times New Roman"/>
          <w:sz w:val="28"/>
          <w:szCs w:val="28"/>
        </w:rPr>
        <w:t>дельный вес домашних хозяйств, проживающих в квартирах (домах), оборудованных канализацией</w:t>
      </w:r>
      <w:r w:rsidR="008213BF" w:rsidRPr="008213BF">
        <w:rPr>
          <w:rFonts w:ascii="Times New Roman" w:hAnsi="Times New Roman" w:cs="Times New Roman"/>
          <w:sz w:val="28"/>
          <w:szCs w:val="28"/>
        </w:rPr>
        <w:t xml:space="preserve"> – на 4,2%</w:t>
      </w:r>
    </w:p>
    <w:p w14:paraId="214F4931" w14:textId="79B7AB06" w:rsidR="00AE2A1D" w:rsidRDefault="00AE2A1D"/>
    <w:p w14:paraId="1628F74C" w14:textId="77777777" w:rsidR="00AE2A1D" w:rsidRDefault="00AE2A1D"/>
    <w:sectPr w:rsidR="00AE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D"/>
    <w:rsid w:val="000A7B85"/>
    <w:rsid w:val="00171459"/>
    <w:rsid w:val="00187534"/>
    <w:rsid w:val="00272014"/>
    <w:rsid w:val="0028157C"/>
    <w:rsid w:val="002F6B69"/>
    <w:rsid w:val="003751BE"/>
    <w:rsid w:val="00575896"/>
    <w:rsid w:val="005D3518"/>
    <w:rsid w:val="005E290E"/>
    <w:rsid w:val="0066201C"/>
    <w:rsid w:val="00745F72"/>
    <w:rsid w:val="0078586D"/>
    <w:rsid w:val="007F6EBD"/>
    <w:rsid w:val="008213BF"/>
    <w:rsid w:val="00886052"/>
    <w:rsid w:val="00887350"/>
    <w:rsid w:val="00893FC2"/>
    <w:rsid w:val="00912777"/>
    <w:rsid w:val="0095136D"/>
    <w:rsid w:val="009738F9"/>
    <w:rsid w:val="009A7634"/>
    <w:rsid w:val="009D6AEB"/>
    <w:rsid w:val="00A12A97"/>
    <w:rsid w:val="00A94F32"/>
    <w:rsid w:val="00A95488"/>
    <w:rsid w:val="00AD1F6D"/>
    <w:rsid w:val="00AE2A1D"/>
    <w:rsid w:val="00AF4A5F"/>
    <w:rsid w:val="00B44D26"/>
    <w:rsid w:val="00C93AB2"/>
    <w:rsid w:val="00CA53B5"/>
    <w:rsid w:val="00D008A6"/>
    <w:rsid w:val="00D04249"/>
    <w:rsid w:val="00E35C75"/>
    <w:rsid w:val="00E4330C"/>
    <w:rsid w:val="00EC2BD2"/>
    <w:rsid w:val="00ED6C0D"/>
    <w:rsid w:val="00EE0EBE"/>
    <w:rsid w:val="00EE7478"/>
    <w:rsid w:val="00FC774E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899"/>
  <w15:chartTrackingRefBased/>
  <w15:docId w15:val="{2D0FEAB5-CAD9-45B1-B689-AD6CF33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Выбросы загрязняющих веществ от мобильных и стационарных источников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от мобильных источников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Лист1!$B$22:$C$22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Лист1!$B$23:$C$23</c:f>
              <c:numCache>
                <c:formatCode>General</c:formatCode>
                <c:ptCount val="2"/>
                <c:pt idx="0">
                  <c:v>88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F-4A7B-A369-5E71B92E376B}"/>
            </c:ext>
          </c:extLst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от стационарных источников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Лист1!$B$22:$C$22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Лист1!$B$24:$C$24</c:f>
              <c:numCache>
                <c:formatCode>General</c:formatCode>
                <c:ptCount val="2"/>
                <c:pt idx="0">
                  <c:v>102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F-4A7B-A369-5E71B92E3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898552"/>
        <c:axId val="541870344"/>
      </c:barChart>
      <c:catAx>
        <c:axId val="54189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1870344"/>
        <c:crosses val="autoZero"/>
        <c:auto val="1"/>
        <c:lblAlgn val="ctr"/>
        <c:lblOffset val="100"/>
        <c:noMultiLvlLbl val="0"/>
      </c:catAx>
      <c:valAx>
        <c:axId val="54187034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>
                    <a:solidFill>
                      <a:sysClr val="windowText" lastClr="000000"/>
                    </a:solidFill>
                  </a:rPr>
                  <a:t>Показатель, тысяч тонн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541898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4">
            <a:lumMod val="20000"/>
            <a:lumOff val="8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Среднегодовой уровень содержания загрязняющих веществ в атмосферном</a:t>
            </a:r>
            <a:r>
              <a:rPr lang="ru-RU" baseline="0">
                <a:solidFill>
                  <a:sysClr val="windowText" lastClr="000000"/>
                </a:solidFill>
              </a:rPr>
              <a:t> воздухе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Средние мелкие частицы (РМ10),  ПДК - 40</c:v>
                </c:pt>
              </c:strCache>
            </c:strRef>
          </c:tx>
          <c:spPr>
            <a:solidFill>
              <a:srgbClr val="98A58B"/>
            </a:solidFill>
            <a:ln>
              <a:solidFill>
                <a:srgbClr val="99CC00"/>
              </a:solidFill>
            </a:ln>
            <a:effectLst/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D30-4481-925D-A1778293DB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Лист1!$B$20:$G$21</c:f>
              <c:multiLvlStrCache>
                <c:ptCount val="6"/>
                <c:lvl>
                  <c:pt idx="0">
                    <c:v>2017</c:v>
                  </c:pt>
                  <c:pt idx="1">
                    <c:v>2021</c:v>
                  </c:pt>
                  <c:pt idx="2">
                    <c:v>2017</c:v>
                  </c:pt>
                  <c:pt idx="3">
                    <c:v>2021</c:v>
                  </c:pt>
                  <c:pt idx="4">
                    <c:v>2017</c:v>
                  </c:pt>
                  <c:pt idx="5">
                    <c:v>2021</c:v>
                  </c:pt>
                </c:lvl>
                <c:lvl>
                  <c:pt idx="0">
                    <c:v>Витебск</c:v>
                  </c:pt>
                  <c:pt idx="2">
                    <c:v>Полоцк</c:v>
                  </c:pt>
                  <c:pt idx="4">
                    <c:v>Новополоцк</c:v>
                  </c:pt>
                </c:lvl>
              </c:multiLvlStrCache>
            </c:multiLvlStrRef>
          </c:cat>
          <c:val>
            <c:numRef>
              <c:f>Лист1!$B$22:$G$22</c:f>
              <c:numCache>
                <c:formatCode>General</c:formatCode>
                <c:ptCount val="6"/>
                <c:pt idx="1">
                  <c:v>17</c:v>
                </c:pt>
                <c:pt idx="2">
                  <c:v>11</c:v>
                </c:pt>
                <c:pt idx="3">
                  <c:v>10</c:v>
                </c:pt>
                <c:pt idx="4">
                  <c:v>17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0-4481-925D-A1778293DB43}"/>
            </c:ext>
          </c:extLst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Приземный озон, ПДК - 90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Лист1!$B$20:$G$21</c:f>
              <c:multiLvlStrCache>
                <c:ptCount val="6"/>
                <c:lvl>
                  <c:pt idx="0">
                    <c:v>2017</c:v>
                  </c:pt>
                  <c:pt idx="1">
                    <c:v>2021</c:v>
                  </c:pt>
                  <c:pt idx="2">
                    <c:v>2017</c:v>
                  </c:pt>
                  <c:pt idx="3">
                    <c:v>2021</c:v>
                  </c:pt>
                  <c:pt idx="4">
                    <c:v>2017</c:v>
                  </c:pt>
                  <c:pt idx="5">
                    <c:v>2021</c:v>
                  </c:pt>
                </c:lvl>
                <c:lvl>
                  <c:pt idx="0">
                    <c:v>Витебск</c:v>
                  </c:pt>
                  <c:pt idx="2">
                    <c:v>Полоцк</c:v>
                  </c:pt>
                  <c:pt idx="4">
                    <c:v>Новополоцк</c:v>
                  </c:pt>
                </c:lvl>
              </c:multiLvlStrCache>
            </c:multiLvlStrRef>
          </c:cat>
          <c:val>
            <c:numRef>
              <c:f>Лист1!$B$23:$G$23</c:f>
              <c:numCache>
                <c:formatCode>General</c:formatCode>
                <c:ptCount val="6"/>
                <c:pt idx="1">
                  <c:v>46</c:v>
                </c:pt>
                <c:pt idx="2">
                  <c:v>44</c:v>
                </c:pt>
                <c:pt idx="3">
                  <c:v>37</c:v>
                </c:pt>
                <c:pt idx="4">
                  <c:v>39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0-4481-925D-A1778293D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4740384"/>
        <c:axId val="694743008"/>
      </c:barChart>
      <c:catAx>
        <c:axId val="69474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743008"/>
        <c:crosses val="autoZero"/>
        <c:auto val="1"/>
        <c:lblAlgn val="ctr"/>
        <c:lblOffset val="100"/>
        <c:noMultiLvlLbl val="0"/>
      </c:catAx>
      <c:valAx>
        <c:axId val="69474300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</a:rPr>
                  <a:t>Показатель, мкг/м3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6947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4">
            <a:lumMod val="5000"/>
            <a:lumOff val="95000"/>
          </a:schemeClr>
        </a:gs>
        <a:gs pos="74000">
          <a:schemeClr val="accent4">
            <a:lumMod val="45000"/>
            <a:lumOff val="55000"/>
          </a:schemeClr>
        </a:gs>
        <a:gs pos="83000">
          <a:schemeClr val="accent4">
            <a:lumMod val="45000"/>
            <a:lumOff val="55000"/>
          </a:schemeClr>
        </a:gs>
        <a:gs pos="100000">
          <a:schemeClr val="accent4">
            <a:lumMod val="30000"/>
            <a:lumOff val="70000"/>
          </a:schemeClr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55672823219003E-2"/>
          <c:y val="0.13461538461538461"/>
          <c:w val="0.81750219876868957"/>
          <c:h val="0.38752548960226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6.3.1. Доля безопасно очищаемых хозяйственно-бытовых и промышленных сточных вод,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0310293640168842E-17"/>
                  <c:y val="-2.6019584090453173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C5-48B1-BDD5-7E3AC351FAF1}"/>
                </c:ext>
              </c:extLst>
            </c:dLbl>
            <c:dLbl>
              <c:idx val="1"/>
              <c:layout>
                <c:manualLayout>
                  <c:x val="-2.1987686895339415E-3"/>
                  <c:y val="1.70452251160909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C5-48B1-BDD5-7E3AC351F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99.7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C5-48B1-BDD5-7E3AC351FAF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12.4.2.2. Доля использованных отходов производства 1 – 3 классов опасности в общем объеме образовавшихся отходов производства 1 – 3 классов опасности1) (процентов)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0310293640168842E-17"/>
                  <c:y val="-8.2828588734100547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C5-48B1-BDD5-7E3AC351FAF1}"/>
                </c:ext>
              </c:extLst>
            </c:dLbl>
            <c:dLbl>
              <c:idx val="1"/>
              <c:layout>
                <c:manualLayout>
                  <c:x val="-2.1987686895339415E-3"/>
                  <c:y val="8.0027256208358571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C5-48B1-BDD5-7E3AC351F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75.8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C5-48B1-BDD5-7E3AC351F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2"/>
        <c:overlap val="-51"/>
        <c:axId val="566880928"/>
        <c:axId val="566876008"/>
      </c:barChart>
      <c:catAx>
        <c:axId val="5668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6876008"/>
        <c:crosses val="autoZero"/>
        <c:auto val="1"/>
        <c:lblAlgn val="ctr"/>
        <c:lblOffset val="100"/>
        <c:noMultiLvlLbl val="0"/>
      </c:catAx>
      <c:valAx>
        <c:axId val="566876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688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766438825753636E-2"/>
          <c:y val="0.69732650459891032"/>
          <c:w val="0.85246694921709987"/>
          <c:h val="0.27770470638735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00B0F0">
            <a:lumMod val="6000"/>
            <a:lumOff val="94000"/>
            <a:alpha val="15000"/>
          </a:srgbClr>
        </a:gs>
        <a:gs pos="74000">
          <a:schemeClr val="accent2">
            <a:lumMod val="45000"/>
            <a:lumOff val="55000"/>
          </a:schemeClr>
        </a:gs>
        <a:gs pos="83000">
          <a:schemeClr val="accent2">
            <a:lumMod val="45000"/>
            <a:lumOff val="55000"/>
          </a:schemeClr>
        </a:gs>
        <a:gs pos="100000">
          <a:schemeClr val="accent2">
            <a:lumMod val="30000"/>
            <a:lumOff val="70000"/>
          </a:schemeClr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0.13365765765765766"/>
          <c:w val="0.89019685039370078"/>
          <c:h val="0.37148244307299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Лист1!$A$54</c:f>
              <c:strCache>
                <c:ptCount val="1"/>
                <c:pt idx="0">
                  <c:v>Доля населения, пользующаяся услугой удаления твердых коммунальных отходов на регулярной основе,%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>
                        <a:alpha val="99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Лист1!$B$53:$C$53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Лист1!$B$54:$C$54</c:f>
              <c:numCache>
                <c:formatCode>General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D-48E2-9B68-664B08EF29EB}"/>
            </c:ext>
          </c:extLst>
        </c:ser>
        <c:ser>
          <c:idx val="1"/>
          <c:order val="1"/>
          <c:tx>
            <c:strRef>
              <c:f>Лист1!$A$55</c:f>
              <c:strCache>
                <c:ptCount val="1"/>
                <c:pt idx="0">
                  <c:v>Доля использованных твердых коммунальных отходов в общем объеме образования твердых коммунальных отходов,%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>
                        <a:alpha val="99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Лист1!$B$53:$C$53</c:f>
              <c:numCache>
                <c:formatCode>General</c:formatCode>
                <c:ptCount val="2"/>
                <c:pt idx="0">
                  <c:v>2017</c:v>
                </c:pt>
                <c:pt idx="1">
                  <c:v>2021</c:v>
                </c:pt>
              </c:numCache>
            </c:numRef>
          </c:cat>
          <c:val>
            <c:numRef>
              <c:f>Лист1!$B$55:$C$55</c:f>
              <c:numCache>
                <c:formatCode>General</c:formatCode>
                <c:ptCount val="2"/>
                <c:pt idx="0">
                  <c:v>16.5</c:v>
                </c:pt>
                <c:pt idx="1">
                  <c:v>30.1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1D-48E2-9B68-664B08EF2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924712"/>
        <c:axId val="588924056"/>
      </c:barChart>
      <c:catAx>
        <c:axId val="58892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>
                    <a:alpha val="99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8924056"/>
        <c:crosses val="autoZero"/>
        <c:auto val="1"/>
        <c:lblAlgn val="ctr"/>
        <c:lblOffset val="100"/>
        <c:noMultiLvlLbl val="0"/>
      </c:catAx>
      <c:valAx>
        <c:axId val="588924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88924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470034995625544E-2"/>
          <c:y val="0.58936841333919543"/>
          <c:w val="0.82105993000874888"/>
          <c:h val="0.38900968597199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>
                  <a:alpha val="99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FFFF00">
            <a:alpha val="18000"/>
          </a:srgbClr>
        </a:gs>
        <a:gs pos="74000">
          <a:schemeClr val="accent6">
            <a:lumMod val="45000"/>
            <a:lumOff val="55000"/>
          </a:schemeClr>
        </a:gs>
        <a:gs pos="83000">
          <a:schemeClr val="accent6">
            <a:lumMod val="45000"/>
            <a:lumOff val="55000"/>
          </a:schemeClr>
        </a:gs>
        <a:gs pos="100000">
          <a:schemeClr val="accent6">
            <a:lumMod val="30000"/>
            <a:lumOff val="70000"/>
          </a:schemeClr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>
              <a:alpha val="99000"/>
            </a:sys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Доступ населения Витебской области к водоснабжению и канализации,%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год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71-4A08-AEC7-1EDD6345CE0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71-4A08-AEC7-1EDD6345CE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Лист1!$A$44:$A$46</c:f>
              <c:strCache>
                <c:ptCount val="3"/>
                <c:pt idx="0">
                  <c:v>Удельный вес домашних хозяйств, проживающих в квартирах (домах), оборудованных водопроводом</c:v>
                </c:pt>
                <c:pt idx="1">
                  <c:v>Удельный вес домашних хозяйств, проживающих в квартирах (домах), оборудованных горячим водоснабжением</c:v>
                </c:pt>
                <c:pt idx="2">
                  <c:v>Удельный вес домашних хозяйств, проживающих в квартирах (домах), оборудованных канализацией</c:v>
                </c:pt>
              </c:strCache>
            </c:strRef>
          </c:cat>
          <c:val>
            <c:numRef>
              <c:f>Лист1!$C$44:$C$46</c:f>
              <c:numCache>
                <c:formatCode>#\ ##0.0</c:formatCode>
                <c:ptCount val="3"/>
                <c:pt idx="0">
                  <c:v>93.7</c:v>
                </c:pt>
                <c:pt idx="1">
                  <c:v>86.1</c:v>
                </c:pt>
                <c:pt idx="2">
                  <c:v>91.9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71-4A08-AEC7-1EDD6345CE04}"/>
            </c:ext>
          </c:extLst>
        </c:ser>
        <c:ser>
          <c:idx val="1"/>
          <c:order val="1"/>
          <c:tx>
            <c:v>2021 год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2671-4A08-AEC7-1EDD6345CE0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2671-4A08-AEC7-1EDD6345CE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Лист1!$A$44:$A$46</c:f>
              <c:strCache>
                <c:ptCount val="3"/>
                <c:pt idx="0">
                  <c:v>Удельный вес домашних хозяйств, проживающих в квартирах (домах), оборудованных водопроводом</c:v>
                </c:pt>
                <c:pt idx="1">
                  <c:v>Удельный вес домашних хозяйств, проживающих в квартирах (домах), оборудованных горячим водоснабжением</c:v>
                </c:pt>
                <c:pt idx="2">
                  <c:v>Удельный вес домашних хозяйств, проживающих в квартирах (домах), оборудованных канализацией</c:v>
                </c:pt>
              </c:strCache>
            </c:strRef>
          </c:cat>
          <c:val>
            <c:numRef>
              <c:f>Лист1!$D$44:$D$46</c:f>
              <c:numCache>
                <c:formatCode>#\ ##0.0</c:formatCode>
                <c:ptCount val="3"/>
                <c:pt idx="0">
                  <c:v>97</c:v>
                </c:pt>
                <c:pt idx="1">
                  <c:v>93.3</c:v>
                </c:pt>
                <c:pt idx="2">
                  <c:v>96.1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671-4A08-AEC7-1EDD6345C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227016"/>
        <c:axId val="392224064"/>
      </c:barChart>
      <c:catAx>
        <c:axId val="39222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2224064"/>
        <c:crosses val="autoZero"/>
        <c:auto val="1"/>
        <c:lblAlgn val="ctr"/>
        <c:lblOffset val="100"/>
        <c:noMultiLvlLbl val="0"/>
      </c:catAx>
      <c:valAx>
        <c:axId val="392224064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extTo"/>
        <c:crossAx val="39222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FFFF00">
            <a:alpha val="21000"/>
          </a:srgbClr>
        </a:gs>
        <a:gs pos="74000">
          <a:schemeClr val="accent6">
            <a:lumMod val="45000"/>
            <a:lumOff val="55000"/>
          </a:schemeClr>
        </a:gs>
        <a:gs pos="83000">
          <a:schemeClr val="accent6">
            <a:lumMod val="45000"/>
            <a:lumOff val="55000"/>
          </a:schemeClr>
        </a:gs>
        <a:gs pos="100000">
          <a:schemeClr val="accent6">
            <a:lumMod val="30000"/>
            <a:lumOff val="70000"/>
          </a:schemeClr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2022-08-24T06:58:00Z</dcterms:created>
  <dcterms:modified xsi:type="dcterms:W3CDTF">2022-08-24T09:08:00Z</dcterms:modified>
</cp:coreProperties>
</file>